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D4" w:rsidRDefault="00F564D4" w:rsidP="00F564D4">
      <w:pPr>
        <w:jc w:val="center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COMPAÑÍA MATRIZ</w:t>
      </w:r>
    </w:p>
    <w:p w:rsidR="00F564D4" w:rsidRDefault="00F564D4">
      <w:pPr>
        <w:rPr>
          <w:rFonts w:ascii="Verdana" w:hAnsi="Verdana"/>
          <w:color w:val="000000"/>
          <w:sz w:val="21"/>
          <w:szCs w:val="21"/>
        </w:rPr>
      </w:pPr>
    </w:p>
    <w:p w:rsidR="003651C2" w:rsidRDefault="00F564D4">
      <w:r>
        <w:rPr>
          <w:rFonts w:ascii="Verdana" w:hAnsi="Verdana"/>
          <w:color w:val="000000"/>
          <w:sz w:val="21"/>
          <w:szCs w:val="21"/>
        </w:rPr>
        <w:t>Es la corporación propietaria de la mayoría de las acciones de voto ilimitado de otra u otras compañías y que, por tal razón, puede manejarlas permanentemente en forma más o menos directa. Una compañía matriz, puede ser propietaria de las acciones de otras que ella misma haya organizado o puede haber comprado las acciones de otras o bien, puede tener ambas clases de "compañías filiales".</w:t>
      </w:r>
    </w:p>
    <w:sectPr w:rsidR="003651C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64D4"/>
    <w:rsid w:val="003651C2"/>
    <w:rsid w:val="00F5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346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2012-12-14T04:59:00Z</dcterms:created>
  <dcterms:modified xsi:type="dcterms:W3CDTF">2012-12-14T05:06:00Z</dcterms:modified>
</cp:coreProperties>
</file>