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E52" w:rsidRPr="00734E52" w:rsidRDefault="00734E52" w:rsidP="00734E52">
      <w:pPr>
        <w:shd w:val="clear" w:color="auto" w:fill="FFFFFF"/>
        <w:spacing w:before="180" w:after="300" w:line="375" w:lineRule="atLeast"/>
        <w:jc w:val="center"/>
        <w:outlineLvl w:val="1"/>
        <w:rPr>
          <w:rFonts w:ascii="Helvetica" w:eastAsia="Times New Roman" w:hAnsi="Helvetica" w:cs="Helvetica"/>
          <w:b/>
          <w:color w:val="333333"/>
          <w:sz w:val="21"/>
          <w:szCs w:val="21"/>
          <w:lang w:eastAsia="es-SV"/>
        </w:rPr>
      </w:pPr>
      <w:r w:rsidRPr="00734E52">
        <w:rPr>
          <w:rFonts w:ascii="Helvetica" w:eastAsia="Times New Roman" w:hAnsi="Helvetica" w:cs="Helvetica"/>
          <w:b/>
          <w:color w:val="333333"/>
          <w:sz w:val="21"/>
          <w:szCs w:val="21"/>
          <w:lang w:eastAsia="es-SV"/>
        </w:rPr>
        <w:t>ESTADOS FINANCIEROS CONSOLIDADOS</w:t>
      </w:r>
    </w:p>
    <w:p w:rsidR="00734E52" w:rsidRPr="00734E52" w:rsidRDefault="00734E52" w:rsidP="00734E52">
      <w:pPr>
        <w:shd w:val="clear" w:color="auto" w:fill="FFFFFF"/>
        <w:spacing w:before="180" w:after="300" w:line="375" w:lineRule="atLeast"/>
        <w:outlineLvl w:val="1"/>
        <w:rPr>
          <w:rFonts w:ascii="Helvetica" w:eastAsia="Times New Roman" w:hAnsi="Helvetica" w:cs="Helvetica"/>
          <w:color w:val="333333"/>
          <w:sz w:val="21"/>
          <w:szCs w:val="21"/>
          <w:lang w:eastAsia="es-SV"/>
        </w:rPr>
      </w:pPr>
      <w:r w:rsidRPr="00734E52">
        <w:rPr>
          <w:rFonts w:ascii="Helvetica" w:eastAsia="Times New Roman" w:hAnsi="Helvetica" w:cs="Helvetica"/>
          <w:color w:val="333333"/>
          <w:sz w:val="21"/>
          <w:szCs w:val="21"/>
          <w:lang w:eastAsia="es-SV"/>
        </w:rPr>
        <w:t>La consolidación en términos financieros significa la agrupación de estados financieros, de dos o más entidades económicas jurídicamente independientes una de otra.</w:t>
      </w:r>
    </w:p>
    <w:p w:rsidR="00734E52" w:rsidRPr="00734E52" w:rsidRDefault="00734E52" w:rsidP="00734E52">
      <w:pPr>
        <w:shd w:val="clear" w:color="auto" w:fill="FFFFFF"/>
        <w:spacing w:before="180" w:after="300" w:line="375" w:lineRule="atLeast"/>
        <w:outlineLvl w:val="1"/>
        <w:rPr>
          <w:rFonts w:ascii="Helvetica" w:eastAsia="Times New Roman" w:hAnsi="Helvetica" w:cs="Helvetica"/>
          <w:color w:val="333333"/>
          <w:sz w:val="21"/>
          <w:szCs w:val="21"/>
          <w:lang w:eastAsia="es-SV"/>
        </w:rPr>
      </w:pPr>
      <w:r w:rsidRPr="00734E52">
        <w:rPr>
          <w:rFonts w:ascii="Helvetica" w:eastAsia="Times New Roman" w:hAnsi="Helvetica" w:cs="Helvetica"/>
          <w:color w:val="333333"/>
          <w:sz w:val="21"/>
          <w:szCs w:val="21"/>
          <w:lang w:eastAsia="es-SV"/>
        </w:rPr>
        <w:t>También se puede definir como los estados financieros que resultan de combinar estados financieros de las compañías matriz y sus subsidiarias. A continuación se presentan varios conceptos importantes relativos a los estados financieros consolidados.</w:t>
      </w:r>
    </w:p>
    <w:p w:rsidR="003651C2" w:rsidRDefault="003651C2"/>
    <w:sectPr w:rsidR="003651C2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4E52"/>
    <w:rsid w:val="003651C2"/>
    <w:rsid w:val="0073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paragraph" w:styleId="Ttulo2">
    <w:name w:val="heading 2"/>
    <w:basedOn w:val="Normal"/>
    <w:link w:val="Ttulo2Car"/>
    <w:uiPriority w:val="9"/>
    <w:qFormat/>
    <w:rsid w:val="00734E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34E52"/>
    <w:rPr>
      <w:rFonts w:ascii="Times New Roman" w:eastAsia="Times New Roman" w:hAnsi="Times New Roman" w:cs="Times New Roman"/>
      <w:b/>
      <w:bCs/>
      <w:sz w:val="36"/>
      <w:szCs w:val="36"/>
      <w:lang w:eastAsia="es-S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2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380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2012-12-14T04:44:00Z</dcterms:created>
  <dcterms:modified xsi:type="dcterms:W3CDTF">2012-12-14T04:59:00Z</dcterms:modified>
</cp:coreProperties>
</file>