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0A" w:rsidRPr="00B0760A" w:rsidRDefault="00B0760A" w:rsidP="00B0760A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0760A">
        <w:rPr>
          <w:rFonts w:ascii="Arial" w:hAnsi="Arial" w:cs="Arial"/>
          <w:b/>
          <w:color w:val="000000"/>
          <w:sz w:val="20"/>
          <w:szCs w:val="20"/>
        </w:rPr>
        <w:t>ESTADO DE DERECHO</w:t>
      </w:r>
    </w:p>
    <w:p w:rsidR="00B0760A" w:rsidRDefault="00B0760A" w:rsidP="00B0760A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</w:p>
    <w:p w:rsidR="00B0760A" w:rsidRDefault="00B0760A" w:rsidP="00B0760A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Estado de derecho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0760A">
        <w:rPr>
          <w:rFonts w:ascii="Arial" w:hAnsi="Arial" w:cs="Arial"/>
          <w:color w:val="000000"/>
          <w:sz w:val="20"/>
          <w:szCs w:val="20"/>
        </w:rPr>
        <w:t>aquel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que se rige por un sistema de leyes e instituciones ordenado en torno de una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0760A">
        <w:rPr>
          <w:rFonts w:ascii="Arial" w:hAnsi="Arial" w:cs="Arial"/>
          <w:color w:val="000000"/>
          <w:sz w:val="20"/>
          <w:szCs w:val="20"/>
        </w:rPr>
        <w:t>constitución</w:t>
      </w:r>
      <w:r>
        <w:rPr>
          <w:rFonts w:ascii="Arial" w:hAnsi="Arial" w:cs="Arial"/>
          <w:color w:val="000000"/>
          <w:sz w:val="20"/>
          <w:szCs w:val="20"/>
        </w:rPr>
        <w:t>. Cualquier medida o acción debe estar sujeta o ser referida a una norma jurídica escrita. A diferencia de lo que sucede ocasionalmente en muchas dictaduras personales, donde el deseo del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0760A">
        <w:rPr>
          <w:rFonts w:ascii="Arial" w:hAnsi="Arial" w:cs="Arial"/>
          <w:color w:val="000000"/>
          <w:sz w:val="20"/>
          <w:szCs w:val="20"/>
        </w:rPr>
        <w:t>dictador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es la base de una gran medida de acciones sin que medie una norma jurídica. En un estado derecho las leyes organizan y fijan límites al gobierno, aunque también algunos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0760A">
        <w:rPr>
          <w:rFonts w:ascii="Arial" w:hAnsi="Arial" w:cs="Arial"/>
          <w:color w:val="000000"/>
          <w:sz w:val="20"/>
          <w:szCs w:val="20"/>
        </w:rPr>
        <w:t>sistemas autoritarios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son estados de derechos en que toda acción está sujeta una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B0760A">
        <w:rPr>
          <w:rFonts w:ascii="Arial" w:hAnsi="Arial" w:cs="Arial"/>
          <w:color w:val="000000"/>
          <w:sz w:val="20"/>
          <w:szCs w:val="20"/>
        </w:rPr>
        <w:t>norma jurídica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previamente aprobada y de conocimiento público (en ese sentido no debe confundirse un estado de derecho con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un</w:t>
      </w:r>
      <w:r w:rsidRPr="00B0760A">
        <w:rPr>
          <w:rFonts w:ascii="Arial" w:hAnsi="Arial" w:cs="Arial"/>
          <w:color w:val="000000"/>
          <w:sz w:val="20"/>
          <w:szCs w:val="20"/>
        </w:rPr>
        <w:t>estado</w:t>
      </w:r>
      <w:proofErr w:type="spellEnd"/>
      <w:r w:rsidRPr="00B0760A">
        <w:rPr>
          <w:rFonts w:ascii="Arial" w:hAnsi="Arial" w:cs="Arial"/>
          <w:color w:val="000000"/>
          <w:sz w:val="20"/>
          <w:szCs w:val="20"/>
        </w:rPr>
        <w:t xml:space="preserve"> democrático</w:t>
      </w:r>
      <w:r>
        <w:rPr>
          <w:rFonts w:ascii="Arial" w:hAnsi="Arial" w:cs="Arial"/>
          <w:color w:val="000000"/>
          <w:sz w:val="20"/>
          <w:szCs w:val="20"/>
        </w:rPr>
        <w:t>, aunque ambas condiciones suelan darse simultáneamente). Esta acepción de estado de derecho es la llamada "acepción débil" o "formal" del estado de derecho.</w:t>
      </w:r>
    </w:p>
    <w:p w:rsidR="00B0760A" w:rsidRDefault="00B0760A" w:rsidP="00B0760A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Este se crea cuando toda acción social y estatal encuentra sustento en la norma; es así que el poder del Estado queda subordinado al orden jurídico vigente por cumplir con el procedimiento para su creación y es eficaz cuando se aplica en la realidad con base en el poder del Estado a través de sus órganos de gobierno, creando así un ambiente de respeto absoluto del ser humano y del orden público.</w:t>
      </w:r>
    </w:p>
    <w:p w:rsidR="003651C2" w:rsidRDefault="003651C2"/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0A"/>
    <w:rsid w:val="003651C2"/>
    <w:rsid w:val="00B0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7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B0760A"/>
  </w:style>
  <w:style w:type="character" w:styleId="Hipervnculo">
    <w:name w:val="Hyperlink"/>
    <w:basedOn w:val="Fuentedeprrafopredeter"/>
    <w:uiPriority w:val="99"/>
    <w:semiHidden/>
    <w:unhideWhenUsed/>
    <w:rsid w:val="00B076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2012-12-14T04:36:00Z</dcterms:created>
  <dcterms:modified xsi:type="dcterms:W3CDTF">2012-12-14T04:44:00Z</dcterms:modified>
</cp:coreProperties>
</file>