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13C" w:rsidRDefault="00D8713C">
      <w:pP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ISTRUMENTO FINACIERO</w:t>
      </w:r>
    </w:p>
    <w:p w:rsidR="0096543E" w:rsidRDefault="00D8713C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 un pasivo comerciable de cualquier tipo, ya sea dinero en efectivo; evidencia de propiedad en alguna entidad; o un derecho contractual a recibir o entregar o cualquier otro documento financiero con fuerza legal.</w:t>
      </w:r>
    </w:p>
    <w:p w:rsidR="00D8713C" w:rsidRDefault="00D8713C" w:rsidP="00D8713C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Los instrumentos financieros se pueden clasificar por la forma, dependiendo de si son instrumentos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D8713C">
        <w:rPr>
          <w:rFonts w:ascii="Arial" w:hAnsi="Arial" w:cs="Arial"/>
          <w:bCs/>
          <w:color w:val="000000"/>
          <w:sz w:val="20"/>
          <w:szCs w:val="20"/>
        </w:rPr>
        <w:t>en efectivo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D8713C">
        <w:rPr>
          <w:rFonts w:ascii="Arial" w:hAnsi="Arial" w:cs="Arial"/>
          <w:bCs/>
          <w:color w:val="000000"/>
          <w:sz w:val="20"/>
          <w:szCs w:val="20"/>
        </w:rPr>
        <w:t>instrumentos derivados</w:t>
      </w:r>
      <w:r w:rsidRPr="00D8713C">
        <w:rPr>
          <w:rFonts w:ascii="Arial" w:hAnsi="Arial" w:cs="Arial"/>
          <w:color w:val="000000"/>
          <w:sz w:val="20"/>
          <w:szCs w:val="20"/>
        </w:rPr>
        <w:t>.</w:t>
      </w:r>
    </w:p>
    <w:p w:rsidR="00D8713C" w:rsidRDefault="00D8713C" w:rsidP="00D8713C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Por otra parte, los instrumentos financieros se pueden clasificar por clase de activos, dependiendo de si son basados en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D8713C">
        <w:rPr>
          <w:rFonts w:ascii="Arial" w:hAnsi="Arial" w:cs="Arial"/>
          <w:bCs/>
          <w:color w:val="000000"/>
          <w:sz w:val="20"/>
          <w:szCs w:val="20"/>
        </w:rPr>
        <w:t>equidad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(lo que refleja la propiedad de la entidad emisora) o basados en la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D8713C">
        <w:rPr>
          <w:rFonts w:ascii="Arial" w:hAnsi="Arial" w:cs="Arial"/>
          <w:bCs/>
          <w:color w:val="000000"/>
          <w:sz w:val="20"/>
          <w:szCs w:val="20"/>
        </w:rPr>
        <w:t>deuda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(lo que refleja un préstamo que el inversor ha hecho a la entidad emisora). Si se trata de la deuda, puede subdividirse en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D8713C">
        <w:rPr>
          <w:rFonts w:ascii="Arial" w:hAnsi="Arial" w:cs="Arial"/>
          <w:bCs/>
          <w:color w:val="000000"/>
          <w:sz w:val="20"/>
          <w:szCs w:val="20"/>
        </w:rPr>
        <w:t>a corto plazo</w:t>
      </w:r>
      <w:r w:rsidRPr="00D8713C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(menos de un año) 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D8713C">
        <w:rPr>
          <w:rFonts w:ascii="Arial" w:hAnsi="Arial" w:cs="Arial"/>
          <w:bCs/>
          <w:sz w:val="20"/>
          <w:szCs w:val="20"/>
        </w:rPr>
        <w:t>a largo plazo</w:t>
      </w:r>
      <w:r w:rsidRPr="00D8713C">
        <w:rPr>
          <w:rFonts w:ascii="Arial" w:hAnsi="Arial" w:cs="Arial"/>
          <w:sz w:val="20"/>
          <w:szCs w:val="20"/>
        </w:rPr>
        <w:t>.</w:t>
      </w:r>
    </w:p>
    <w:p w:rsidR="00D8713C" w:rsidRDefault="00D8713C"/>
    <w:sectPr w:rsidR="00D8713C" w:rsidSect="009654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713C"/>
    <w:rsid w:val="0096543E"/>
    <w:rsid w:val="00D87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4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D8713C"/>
  </w:style>
  <w:style w:type="paragraph" w:styleId="NormalWeb">
    <w:name w:val="Normal (Web)"/>
    <w:basedOn w:val="Normal"/>
    <w:uiPriority w:val="99"/>
    <w:semiHidden/>
    <w:unhideWhenUsed/>
    <w:rsid w:val="00D87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634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2012-10-03T04:25:00Z</dcterms:created>
  <dcterms:modified xsi:type="dcterms:W3CDTF">2012-10-03T04:32:00Z</dcterms:modified>
</cp:coreProperties>
</file>