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E3F" w:rsidRPr="009A6E3F" w:rsidRDefault="009A6E3F" w:rsidP="009A6E3F">
      <w:pPr>
        <w:pStyle w:val="NormalWeb"/>
        <w:shd w:val="clear" w:color="auto" w:fill="FFFFFF"/>
        <w:spacing w:before="96" w:beforeAutospacing="0" w:after="120" w:afterAutospacing="0" w:line="360" w:lineRule="atLeast"/>
        <w:jc w:val="center"/>
        <w:rPr>
          <w:rFonts w:ascii="Arial" w:hAnsi="Arial" w:cs="Arial"/>
          <w:b/>
          <w:color w:val="000000"/>
          <w:sz w:val="32"/>
          <w:szCs w:val="32"/>
          <w:lang w:val="es-ES"/>
        </w:rPr>
      </w:pPr>
      <w:r w:rsidRPr="009A6E3F">
        <w:rPr>
          <w:rFonts w:ascii="Arial" w:hAnsi="Arial" w:cs="Arial"/>
          <w:b/>
          <w:color w:val="000000"/>
          <w:sz w:val="32"/>
          <w:szCs w:val="32"/>
          <w:lang w:val="es-ES"/>
        </w:rPr>
        <w:t>Riesgo De Cambio</w:t>
      </w:r>
    </w:p>
    <w:p w:rsidR="009A6E3F" w:rsidRPr="009A6E3F" w:rsidRDefault="009A6E3F" w:rsidP="009A6E3F">
      <w:pPr>
        <w:pStyle w:val="NormalWeb"/>
        <w:shd w:val="clear" w:color="auto" w:fill="FFFFFF"/>
        <w:spacing w:before="96" w:beforeAutospacing="0" w:after="120" w:afterAutospacing="0" w:line="360" w:lineRule="atLeast"/>
        <w:rPr>
          <w:rFonts w:ascii="Arial" w:hAnsi="Arial" w:cs="Arial"/>
          <w:lang w:val="es-ES"/>
        </w:rPr>
      </w:pPr>
      <w:r w:rsidRPr="009A6E3F">
        <w:rPr>
          <w:rFonts w:ascii="Arial" w:hAnsi="Arial" w:cs="Arial"/>
          <w:lang w:val="es-ES"/>
        </w:rPr>
        <w:t>E</w:t>
      </w:r>
      <w:r w:rsidRPr="009A6E3F">
        <w:rPr>
          <w:rFonts w:ascii="Arial" w:hAnsi="Arial" w:cs="Arial"/>
          <w:lang w:val="es-ES"/>
        </w:rPr>
        <w:t>s el fenómeno que implica el que un</w:t>
      </w:r>
      <w:r w:rsidRPr="009A6E3F">
        <w:rPr>
          <w:rStyle w:val="apple-converted-space"/>
          <w:rFonts w:ascii="Arial" w:hAnsi="Arial" w:cs="Arial"/>
          <w:lang w:val="es-ES"/>
        </w:rPr>
        <w:t> </w:t>
      </w:r>
      <w:hyperlink r:id="rId5" w:tooltip="Agente económico" w:history="1">
        <w:r w:rsidRPr="009A6E3F">
          <w:rPr>
            <w:rStyle w:val="Hipervnculo"/>
            <w:rFonts w:ascii="Arial" w:hAnsi="Arial" w:cs="Arial"/>
            <w:color w:val="auto"/>
            <w:u w:val="none"/>
            <w:lang w:val="es-ES"/>
          </w:rPr>
          <w:t>agente económico</w:t>
        </w:r>
      </w:hyperlink>
      <w:r w:rsidRPr="009A6E3F">
        <w:rPr>
          <w:rStyle w:val="apple-converted-space"/>
          <w:rFonts w:ascii="Arial" w:hAnsi="Arial" w:cs="Arial"/>
          <w:lang w:val="es-ES"/>
        </w:rPr>
        <w:t> </w:t>
      </w:r>
      <w:r w:rsidRPr="009A6E3F">
        <w:rPr>
          <w:rFonts w:ascii="Arial" w:hAnsi="Arial" w:cs="Arial"/>
          <w:lang w:val="es-ES"/>
        </w:rPr>
        <w:t>coloque parte de sus activos en una</w:t>
      </w:r>
      <w:r w:rsidRPr="009A6E3F">
        <w:rPr>
          <w:rStyle w:val="apple-converted-space"/>
          <w:rFonts w:ascii="Arial" w:hAnsi="Arial" w:cs="Arial"/>
          <w:lang w:val="es-ES"/>
        </w:rPr>
        <w:t> </w:t>
      </w:r>
      <w:hyperlink r:id="rId6" w:tooltip="Moneda" w:history="1">
        <w:r w:rsidRPr="009A6E3F">
          <w:rPr>
            <w:rStyle w:val="Hipervnculo"/>
            <w:rFonts w:ascii="Arial" w:hAnsi="Arial" w:cs="Arial"/>
            <w:color w:val="auto"/>
            <w:u w:val="none"/>
            <w:lang w:val="es-ES"/>
          </w:rPr>
          <w:t>moneda</w:t>
        </w:r>
      </w:hyperlink>
      <w:r w:rsidRPr="009A6E3F">
        <w:rPr>
          <w:rFonts w:ascii="Arial" w:hAnsi="Arial" w:cs="Arial"/>
          <w:lang w:val="es-ES"/>
        </w:rPr>
        <w:t>, o</w:t>
      </w:r>
      <w:r w:rsidRPr="009A6E3F">
        <w:rPr>
          <w:rStyle w:val="apple-converted-space"/>
          <w:rFonts w:ascii="Arial" w:hAnsi="Arial" w:cs="Arial"/>
          <w:lang w:val="es-ES"/>
        </w:rPr>
        <w:t> </w:t>
      </w:r>
      <w:hyperlink r:id="rId7" w:tooltip="Instrumento financiero" w:history="1">
        <w:r w:rsidRPr="009A6E3F">
          <w:rPr>
            <w:rStyle w:val="Hipervnculo"/>
            <w:rFonts w:ascii="Arial" w:hAnsi="Arial" w:cs="Arial"/>
            <w:color w:val="auto"/>
            <w:u w:val="none"/>
            <w:lang w:val="es-ES"/>
          </w:rPr>
          <w:t>instrumento financiero</w:t>
        </w:r>
      </w:hyperlink>
      <w:r w:rsidRPr="009A6E3F">
        <w:rPr>
          <w:rStyle w:val="apple-converted-space"/>
          <w:rFonts w:ascii="Arial" w:hAnsi="Arial" w:cs="Arial"/>
          <w:lang w:val="es-ES"/>
        </w:rPr>
        <w:t> </w:t>
      </w:r>
      <w:r w:rsidRPr="009A6E3F">
        <w:rPr>
          <w:rFonts w:ascii="Arial" w:hAnsi="Arial" w:cs="Arial"/>
          <w:lang w:val="es-ES"/>
        </w:rPr>
        <w:t>denominado en moneda diferente de la cual utiliza este agente como base para sus operaciones cotidianas.</w:t>
      </w:r>
    </w:p>
    <w:p w:rsidR="009A6E3F" w:rsidRPr="009A6E3F" w:rsidRDefault="009A6E3F" w:rsidP="009A6E3F">
      <w:pPr>
        <w:pStyle w:val="NormalWeb"/>
        <w:shd w:val="clear" w:color="auto" w:fill="FFFFFF"/>
        <w:spacing w:before="96" w:beforeAutospacing="0" w:after="120" w:afterAutospacing="0" w:line="360" w:lineRule="atLeast"/>
        <w:rPr>
          <w:rFonts w:ascii="Arial" w:hAnsi="Arial" w:cs="Arial"/>
          <w:lang w:val="es-ES"/>
        </w:rPr>
      </w:pPr>
      <w:r w:rsidRPr="009A6E3F">
        <w:rPr>
          <w:rFonts w:ascii="Arial" w:hAnsi="Arial" w:cs="Arial"/>
          <w:lang w:val="es-ES"/>
        </w:rPr>
        <w:t>Dentro de un esquema de fluctuaciones entre los tipos de cambio que relacionan a dos monedas, por decir dólar-euro o yen-libra, las variaciones en el valor de una moneda denominada en términos de otra constituyen variaciones en el tipo cambiario que afectan a la riqueza total del agente económico que mantiene posiciones denominadas en moneda extranjera. Estas variaciones dan lugar a un cierto factor de riesgo que se incrementa de acuerdo con la volatilidad que hay en el precio de estas monedas.</w:t>
      </w:r>
    </w:p>
    <w:p w:rsidR="009A6E3F" w:rsidRPr="009A6E3F" w:rsidRDefault="009A6E3F" w:rsidP="009A6E3F">
      <w:pPr>
        <w:pStyle w:val="NormalWeb"/>
        <w:shd w:val="clear" w:color="auto" w:fill="FFFFFF"/>
        <w:spacing w:before="96" w:beforeAutospacing="0" w:after="120" w:afterAutospacing="0" w:line="360" w:lineRule="atLeast"/>
        <w:rPr>
          <w:rFonts w:ascii="Arial" w:hAnsi="Arial" w:cs="Arial"/>
          <w:sz w:val="20"/>
          <w:szCs w:val="20"/>
          <w:lang w:val="es-ES"/>
        </w:rPr>
      </w:pPr>
      <w:r w:rsidRPr="009A6E3F">
        <w:rPr>
          <w:rFonts w:ascii="Arial" w:hAnsi="Arial" w:cs="Arial"/>
          <w:lang w:val="es-ES"/>
        </w:rPr>
        <w:t>El tipo cambiario, al ser un</w:t>
      </w:r>
      <w:r w:rsidRPr="009A6E3F">
        <w:rPr>
          <w:rStyle w:val="apple-converted-space"/>
          <w:rFonts w:ascii="Arial" w:hAnsi="Arial" w:cs="Arial"/>
          <w:lang w:val="es-ES"/>
        </w:rPr>
        <w:t> </w:t>
      </w:r>
      <w:hyperlink r:id="rId8" w:tooltip="Precio relativo (aún no redactado)" w:history="1">
        <w:r w:rsidRPr="009A6E3F">
          <w:rPr>
            <w:rStyle w:val="Hipervnculo"/>
            <w:rFonts w:ascii="Arial" w:hAnsi="Arial" w:cs="Arial"/>
            <w:color w:val="auto"/>
            <w:u w:val="none"/>
            <w:lang w:val="es-ES"/>
          </w:rPr>
          <w:t>precio relativo</w:t>
        </w:r>
      </w:hyperlink>
      <w:r w:rsidRPr="009A6E3F">
        <w:rPr>
          <w:rFonts w:ascii="Arial" w:hAnsi="Arial" w:cs="Arial"/>
          <w:lang w:val="es-ES"/>
        </w:rPr>
        <w:t>, se ve afectado por el valor de cualquiera de los dos precios de las monedas y los determinantes de estas, por lo cual evaluar el riesgo de cambio es una labor que implica conocer los componentes que determinan el valor de la moneda en términos de otra. Hay dos corrientes principales para evaluar este precio y que toman en cuenta dos factores distintos para evaluar las</w:t>
      </w:r>
      <w:r w:rsidRPr="009A6E3F">
        <w:rPr>
          <w:rStyle w:val="apple-converted-space"/>
          <w:rFonts w:ascii="Arial" w:hAnsi="Arial" w:cs="Arial"/>
          <w:lang w:val="es-ES"/>
        </w:rPr>
        <w:t> </w:t>
      </w:r>
      <w:hyperlink r:id="rId9" w:tooltip="Paridad" w:history="1">
        <w:r w:rsidRPr="009A6E3F">
          <w:rPr>
            <w:rStyle w:val="Hipervnculo"/>
            <w:rFonts w:ascii="Arial" w:hAnsi="Arial" w:cs="Arial"/>
            <w:color w:val="auto"/>
            <w:u w:val="none"/>
            <w:lang w:val="es-ES"/>
          </w:rPr>
          <w:t>paridades</w:t>
        </w:r>
      </w:hyperlink>
      <w:r w:rsidRPr="009A6E3F">
        <w:rPr>
          <w:rStyle w:val="apple-converted-space"/>
          <w:rFonts w:ascii="Arial" w:hAnsi="Arial" w:cs="Arial"/>
          <w:lang w:val="es-ES"/>
        </w:rPr>
        <w:t> </w:t>
      </w:r>
      <w:r w:rsidRPr="009A6E3F">
        <w:rPr>
          <w:rFonts w:ascii="Arial" w:hAnsi="Arial" w:cs="Arial"/>
          <w:lang w:val="es-ES"/>
        </w:rPr>
        <w:t>monetarias. Una de ellas toma en cuenta el</w:t>
      </w:r>
      <w:r w:rsidRPr="009A6E3F">
        <w:rPr>
          <w:rStyle w:val="apple-converted-space"/>
          <w:rFonts w:ascii="Arial" w:hAnsi="Arial" w:cs="Arial"/>
          <w:lang w:val="es-ES"/>
        </w:rPr>
        <w:t> </w:t>
      </w:r>
      <w:hyperlink r:id="rId10" w:tooltip="Mercado monetario" w:history="1">
        <w:r w:rsidRPr="009A6E3F">
          <w:rPr>
            <w:rStyle w:val="Hipervnculo"/>
            <w:rFonts w:ascii="Arial" w:hAnsi="Arial" w:cs="Arial"/>
            <w:color w:val="auto"/>
            <w:u w:val="none"/>
            <w:lang w:val="es-ES"/>
          </w:rPr>
          <w:t>mercado monetario</w:t>
        </w:r>
      </w:hyperlink>
      <w:r w:rsidRPr="009A6E3F">
        <w:rPr>
          <w:rStyle w:val="apple-converted-space"/>
          <w:rFonts w:ascii="Arial" w:hAnsi="Arial" w:cs="Arial"/>
          <w:lang w:val="es-ES"/>
        </w:rPr>
        <w:t> </w:t>
      </w:r>
      <w:r w:rsidRPr="009A6E3F">
        <w:rPr>
          <w:rFonts w:ascii="Arial" w:hAnsi="Arial" w:cs="Arial"/>
          <w:lang w:val="es-ES"/>
        </w:rPr>
        <w:t>como principal determinante de este precio relativo, y basa gran parte de su análisis en el comportamiento de la</w:t>
      </w:r>
      <w:r w:rsidRPr="009A6E3F">
        <w:rPr>
          <w:rStyle w:val="apple-converted-space"/>
          <w:rFonts w:ascii="Arial" w:hAnsi="Arial" w:cs="Arial"/>
          <w:lang w:val="es-ES"/>
        </w:rPr>
        <w:t> </w:t>
      </w:r>
      <w:hyperlink r:id="rId11" w:tooltip="Tasa de interés" w:history="1">
        <w:r w:rsidRPr="009A6E3F">
          <w:rPr>
            <w:rStyle w:val="Hipervnculo"/>
            <w:rFonts w:ascii="Arial" w:hAnsi="Arial" w:cs="Arial"/>
            <w:color w:val="auto"/>
            <w:u w:val="none"/>
            <w:lang w:val="es-ES"/>
          </w:rPr>
          <w:t>tasa de interés</w:t>
        </w:r>
      </w:hyperlink>
      <w:r w:rsidRPr="009A6E3F">
        <w:rPr>
          <w:rStyle w:val="apple-converted-space"/>
          <w:rFonts w:ascii="Arial" w:hAnsi="Arial" w:cs="Arial"/>
          <w:lang w:val="es-ES"/>
        </w:rPr>
        <w:t> </w:t>
      </w:r>
      <w:r w:rsidRPr="009A6E3F">
        <w:rPr>
          <w:rFonts w:ascii="Arial" w:hAnsi="Arial" w:cs="Arial"/>
          <w:lang w:val="es-ES"/>
        </w:rPr>
        <w:t>de los instrumentos financieros similares y comparables disponibles en ambas monedas. Otra vía para analizar el comportamiento cambiario es aquella que toma en cuenta el</w:t>
      </w:r>
      <w:r w:rsidRPr="009A6E3F">
        <w:rPr>
          <w:rStyle w:val="apple-converted-space"/>
          <w:rFonts w:ascii="Arial" w:hAnsi="Arial" w:cs="Arial"/>
          <w:lang w:val="es-ES"/>
        </w:rPr>
        <w:t> </w:t>
      </w:r>
      <w:hyperlink r:id="rId12" w:tooltip="Mercado de bienes y servicios" w:history="1">
        <w:r w:rsidRPr="009A6E3F">
          <w:rPr>
            <w:rStyle w:val="Hipervnculo"/>
            <w:rFonts w:ascii="Arial" w:hAnsi="Arial" w:cs="Arial"/>
            <w:color w:val="auto"/>
            <w:u w:val="none"/>
            <w:lang w:val="es-ES"/>
          </w:rPr>
          <w:t>mercado de bienes y servicios</w:t>
        </w:r>
      </w:hyperlink>
      <w:r w:rsidRPr="009A6E3F">
        <w:rPr>
          <w:rFonts w:ascii="Arial" w:hAnsi="Arial" w:cs="Arial"/>
          <w:lang w:val="es-ES"/>
        </w:rPr>
        <w:t>, y compara precios de bienes similares o</w:t>
      </w:r>
      <w:r w:rsidRPr="009A6E3F">
        <w:rPr>
          <w:rStyle w:val="apple-converted-space"/>
          <w:rFonts w:ascii="Arial" w:hAnsi="Arial" w:cs="Arial"/>
          <w:lang w:val="es-ES"/>
        </w:rPr>
        <w:t> </w:t>
      </w:r>
      <w:hyperlink r:id="rId13" w:tooltip="Tasa de inflación" w:history="1">
        <w:r w:rsidRPr="009A6E3F">
          <w:rPr>
            <w:rStyle w:val="Hipervnculo"/>
            <w:rFonts w:ascii="Arial" w:hAnsi="Arial" w:cs="Arial"/>
            <w:color w:val="auto"/>
            <w:u w:val="none"/>
            <w:lang w:val="es-ES"/>
          </w:rPr>
          <w:t>tasas de inflación</w:t>
        </w:r>
      </w:hyperlink>
      <w:r w:rsidRPr="009A6E3F">
        <w:rPr>
          <w:rStyle w:val="apple-converted-space"/>
          <w:rFonts w:ascii="Arial" w:hAnsi="Arial" w:cs="Arial"/>
          <w:lang w:val="es-ES"/>
        </w:rPr>
        <w:t> </w:t>
      </w:r>
      <w:r w:rsidRPr="009A6E3F">
        <w:rPr>
          <w:rFonts w:ascii="Arial" w:hAnsi="Arial" w:cs="Arial"/>
          <w:lang w:val="es-ES"/>
        </w:rPr>
        <w:t>para evaluar el poder de compra de una y otra moneda</w:t>
      </w:r>
      <w:r w:rsidRPr="009A6E3F">
        <w:rPr>
          <w:rFonts w:ascii="Arial" w:hAnsi="Arial" w:cs="Arial"/>
          <w:sz w:val="20"/>
          <w:szCs w:val="20"/>
          <w:lang w:val="es-ES"/>
        </w:rPr>
        <w:t>.</w:t>
      </w:r>
    </w:p>
    <w:p w:rsidR="000615AF" w:rsidRPr="009A6E3F" w:rsidRDefault="009A6E3F" w:rsidP="009A6E3F">
      <w:pPr>
        <w:pStyle w:val="NormalWeb"/>
        <w:shd w:val="clear" w:color="auto" w:fill="FFFFFF"/>
        <w:spacing w:before="96" w:beforeAutospacing="0" w:after="120" w:afterAutospacing="0" w:line="360" w:lineRule="atLeast"/>
        <w:rPr>
          <w:rFonts w:ascii="Arial" w:hAnsi="Arial" w:cs="Arial"/>
          <w:lang w:val="es-ES"/>
        </w:rPr>
      </w:pPr>
      <w:r w:rsidRPr="009A6E3F">
        <w:rPr>
          <w:rFonts w:ascii="Arial" w:hAnsi="Arial" w:cs="Arial"/>
          <w:lang w:val="es-ES"/>
        </w:rPr>
        <w:t>La comunidad financiera internacional toma en cuenta las fluctuaciones de la paridad cambiaria para determinar decisiones de inversión en instrumentos denominados en moneda extranjera, que rendirán, además de su</w:t>
      </w:r>
      <w:r w:rsidRPr="009A6E3F">
        <w:rPr>
          <w:rStyle w:val="apple-converted-space"/>
          <w:rFonts w:ascii="Arial" w:hAnsi="Arial" w:cs="Arial"/>
          <w:lang w:val="es-ES"/>
        </w:rPr>
        <w:t> </w:t>
      </w:r>
      <w:hyperlink r:id="rId14" w:tooltip="Tasa nominal (aún no redactado)" w:history="1">
        <w:r w:rsidRPr="009A6E3F">
          <w:rPr>
            <w:rStyle w:val="Hipervnculo"/>
            <w:rFonts w:ascii="Arial" w:hAnsi="Arial" w:cs="Arial"/>
            <w:color w:val="auto"/>
            <w:u w:val="none"/>
            <w:lang w:val="es-ES"/>
          </w:rPr>
          <w:t>tasa nominal</w:t>
        </w:r>
      </w:hyperlink>
      <w:r w:rsidRPr="009A6E3F">
        <w:rPr>
          <w:rStyle w:val="apple-converted-space"/>
          <w:rFonts w:ascii="Arial" w:hAnsi="Arial" w:cs="Arial"/>
          <w:lang w:val="es-ES"/>
        </w:rPr>
        <w:t> </w:t>
      </w:r>
      <w:r w:rsidRPr="009A6E3F">
        <w:rPr>
          <w:rFonts w:ascii="Arial" w:hAnsi="Arial" w:cs="Arial"/>
          <w:lang w:val="es-ES"/>
        </w:rPr>
        <w:t>de retorno, un monto derivado de la fluctuación cambiaria y de las respectivas inflaciones para calcular</w:t>
      </w:r>
      <w:r w:rsidRPr="009A6E3F">
        <w:rPr>
          <w:rStyle w:val="apple-converted-space"/>
          <w:rFonts w:ascii="Arial" w:hAnsi="Arial" w:cs="Arial"/>
          <w:lang w:val="es-ES"/>
        </w:rPr>
        <w:t> </w:t>
      </w:r>
      <w:hyperlink r:id="rId15" w:tooltip="Tasa real (aún no redactado)" w:history="1">
        <w:r w:rsidRPr="009A6E3F">
          <w:rPr>
            <w:rStyle w:val="Hipervnculo"/>
            <w:rFonts w:ascii="Arial" w:hAnsi="Arial" w:cs="Arial"/>
            <w:color w:val="auto"/>
            <w:u w:val="none"/>
            <w:lang w:val="es-ES"/>
          </w:rPr>
          <w:t>tasas de retorno reales</w:t>
        </w:r>
      </w:hyperlink>
      <w:r w:rsidRPr="009A6E3F">
        <w:rPr>
          <w:rFonts w:ascii="Arial" w:hAnsi="Arial" w:cs="Arial"/>
          <w:lang w:val="es-ES"/>
        </w:rPr>
        <w:t>, donde además del riesgo inherente del instrumento financiero, se toma en cuenta el riesgo cambiario que representa la inversión en una moneda extranjera.</w:t>
      </w:r>
      <w:bookmarkStart w:id="0" w:name="_GoBack"/>
      <w:bookmarkEnd w:id="0"/>
    </w:p>
    <w:sectPr w:rsidR="000615AF" w:rsidRPr="009A6E3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F9"/>
    <w:rsid w:val="000615AF"/>
    <w:rsid w:val="008E47F9"/>
    <w:rsid w:val="009A6E3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A6E3F"/>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9A6E3F"/>
  </w:style>
  <w:style w:type="character" w:styleId="Hipervnculo">
    <w:name w:val="Hyperlink"/>
    <w:basedOn w:val="Fuentedeprrafopredeter"/>
    <w:uiPriority w:val="99"/>
    <w:semiHidden/>
    <w:unhideWhenUsed/>
    <w:rsid w:val="009A6E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A6E3F"/>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9A6E3F"/>
  </w:style>
  <w:style w:type="character" w:styleId="Hipervnculo">
    <w:name w:val="Hyperlink"/>
    <w:basedOn w:val="Fuentedeprrafopredeter"/>
    <w:uiPriority w:val="99"/>
    <w:semiHidden/>
    <w:unhideWhenUsed/>
    <w:rsid w:val="009A6E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43863">
      <w:bodyDiv w:val="1"/>
      <w:marLeft w:val="0"/>
      <w:marRight w:val="0"/>
      <w:marTop w:val="0"/>
      <w:marBottom w:val="0"/>
      <w:divBdr>
        <w:top w:val="none" w:sz="0" w:space="0" w:color="auto"/>
        <w:left w:val="none" w:sz="0" w:space="0" w:color="auto"/>
        <w:bottom w:val="none" w:sz="0" w:space="0" w:color="auto"/>
        <w:right w:val="none" w:sz="0" w:space="0" w:color="auto"/>
      </w:divBdr>
      <w:divsChild>
        <w:div w:id="1221550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Precio_relativo&amp;action=edit&amp;redlink=1" TargetMode="External"/><Relationship Id="rId13" Type="http://schemas.openxmlformats.org/officeDocument/2006/relationships/hyperlink" Target="http://es.wikipedia.org/wiki/Tasa_de_inflaci%C3%B3n" TargetMode="External"/><Relationship Id="rId3" Type="http://schemas.openxmlformats.org/officeDocument/2006/relationships/settings" Target="settings.xml"/><Relationship Id="rId7" Type="http://schemas.openxmlformats.org/officeDocument/2006/relationships/hyperlink" Target="http://es.wikipedia.org/wiki/Instrumento_financiero" TargetMode="External"/><Relationship Id="rId12" Type="http://schemas.openxmlformats.org/officeDocument/2006/relationships/hyperlink" Target="http://es.wikipedia.org/wiki/Mercado_de_bienes_y_servicios"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s.wikipedia.org/wiki/Moneda" TargetMode="External"/><Relationship Id="rId11" Type="http://schemas.openxmlformats.org/officeDocument/2006/relationships/hyperlink" Target="http://es.wikipedia.org/wiki/Tasa_de_inter%C3%A9s" TargetMode="External"/><Relationship Id="rId5" Type="http://schemas.openxmlformats.org/officeDocument/2006/relationships/hyperlink" Target="http://es.wikipedia.org/wiki/Agente_econ%C3%B3mico" TargetMode="External"/><Relationship Id="rId15" Type="http://schemas.openxmlformats.org/officeDocument/2006/relationships/hyperlink" Target="http://es.wikipedia.org/w/index.php?title=Tasa_real&amp;action=edit&amp;redlink=1" TargetMode="External"/><Relationship Id="rId10" Type="http://schemas.openxmlformats.org/officeDocument/2006/relationships/hyperlink" Target="http://es.wikipedia.org/wiki/Mercado_monetario" TargetMode="External"/><Relationship Id="rId4" Type="http://schemas.openxmlformats.org/officeDocument/2006/relationships/webSettings" Target="webSettings.xml"/><Relationship Id="rId9" Type="http://schemas.openxmlformats.org/officeDocument/2006/relationships/hyperlink" Target="http://es.wikipedia.org/wiki/Paridad" TargetMode="External"/><Relationship Id="rId14" Type="http://schemas.openxmlformats.org/officeDocument/2006/relationships/hyperlink" Target="http://es.wikipedia.org/w/index.php?title=Tasa_nominal&amp;action=edit&amp;redlink=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502</Words>
  <Characters>2762</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2</cp:revision>
  <dcterms:created xsi:type="dcterms:W3CDTF">2012-10-12T02:30:00Z</dcterms:created>
  <dcterms:modified xsi:type="dcterms:W3CDTF">2012-10-12T02:32:00Z</dcterms:modified>
</cp:coreProperties>
</file>