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1D" w:rsidRDefault="00AE7BAE">
      <w:r>
        <w:rPr>
          <w:noProof/>
          <w:lang w:eastAsia="es-S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133.2pt;margin-top:545.65pt;width:24.75pt;height:15pt;flip:x;z-index:251675648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42" type="#_x0000_t32" style="position:absolute;margin-left:245.7pt;margin-top:556.15pt;width:15.75pt;height:50.25pt;z-index:251674624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41" type="#_x0000_t32" style="position:absolute;margin-left:310.95pt;margin-top:537.4pt;width:48pt;height:18.75pt;z-index:25167360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40" type="#_x0000_t32" style="position:absolute;margin-left:316.2pt;margin-top:487.15pt;width:37.5pt;height:19.5pt;flip:y;z-index:251672576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39" type="#_x0000_t32" style="position:absolute;margin-left:233.7pt;margin-top:475.9pt;width:.75pt;height:18.75pt;flip:x y;z-index:25167155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38" type="#_x0000_t32" style="position:absolute;margin-left:106.2pt;margin-top:494.65pt;width:51.75pt;height:12pt;flip:x y;z-index:251670528" o:connectortype="straight">
            <v:stroke endarrow="block"/>
          </v:shape>
        </w:pict>
      </w:r>
      <w:r>
        <w:rPr>
          <w:noProof/>
          <w:lang w:eastAsia="es-SV"/>
        </w:rPr>
        <w:pict>
          <v:oval id="_x0000_s1034" style="position:absolute;margin-left:358.95pt;margin-top:550.9pt;width:142.5pt;height:55.5pt;z-index:251666432">
            <v:textbox>
              <w:txbxContent>
                <w:p w:rsidR="00A9070A" w:rsidRPr="00A9070A" w:rsidRDefault="00A9070A" w:rsidP="00A9070A">
                  <w:pPr>
                    <w:jc w:val="center"/>
                    <w:rPr>
                      <w:b/>
                    </w:rPr>
                  </w:pPr>
                  <w:r w:rsidRPr="00A9070A">
                    <w:rPr>
                      <w:b/>
                    </w:rPr>
                    <w:t>Secreto profesional</w:t>
                  </w:r>
                </w:p>
              </w:txbxContent>
            </v:textbox>
          </v:oval>
        </w:pict>
      </w:r>
      <w:r>
        <w:rPr>
          <w:noProof/>
          <w:lang w:eastAsia="es-SV"/>
        </w:rPr>
        <w:pict>
          <v:oval id="_x0000_s1031" style="position:absolute;margin-left:166.2pt;margin-top:413.65pt;width:124.5pt;height:54.75pt;z-index:251663360">
            <v:textbox>
              <w:txbxContent>
                <w:p w:rsidR="00A9070A" w:rsidRPr="00A9070A" w:rsidRDefault="00A9070A" w:rsidP="00A9070A">
                  <w:pPr>
                    <w:jc w:val="center"/>
                    <w:rPr>
                      <w:b/>
                    </w:rPr>
                  </w:pPr>
                  <w:r w:rsidRPr="00A9070A">
                    <w:rPr>
                      <w:b/>
                    </w:rPr>
                    <w:t xml:space="preserve">Interpretación de el </w:t>
                  </w:r>
                  <w:proofErr w:type="spellStart"/>
                  <w:r w:rsidRPr="00A9070A">
                    <w:rPr>
                      <w:b/>
                    </w:rPr>
                    <w:t>codigo</w:t>
                  </w:r>
                  <w:proofErr w:type="spellEnd"/>
                </w:p>
              </w:txbxContent>
            </v:textbox>
          </v:oval>
        </w:pict>
      </w:r>
      <w:r w:rsidR="00A9070A">
        <w:rPr>
          <w:noProof/>
          <w:lang w:eastAsia="es-SV"/>
        </w:rPr>
        <w:pict>
          <v:oval id="_x0000_s1037" style="position:absolute;margin-left:202.95pt;margin-top:619.9pt;width:137.25pt;height:70.5pt;z-index:251669504">
            <v:textbox>
              <w:txbxContent>
                <w:p w:rsidR="00AE7BAE" w:rsidRPr="00AE7BAE" w:rsidRDefault="00AE7BAE" w:rsidP="00AE7BAE">
                  <w:pPr>
                    <w:jc w:val="center"/>
                    <w:rPr>
                      <w:b/>
                    </w:rPr>
                  </w:pPr>
                  <w:r w:rsidRPr="00AE7BAE">
                    <w:rPr>
                      <w:b/>
                    </w:rPr>
                    <w:t>Responsabilidad del contador publico</w:t>
                  </w:r>
                </w:p>
              </w:txbxContent>
            </v:textbox>
          </v:oval>
        </w:pict>
      </w:r>
      <w:r w:rsidR="00A9070A">
        <w:rPr>
          <w:noProof/>
          <w:lang w:eastAsia="es-SV"/>
        </w:rPr>
        <w:pict>
          <v:oval id="_x0000_s1035" style="position:absolute;margin-left:10.95pt;margin-top:573.4pt;width:147pt;height:59.25pt;z-index:251667456">
            <v:textbox>
              <w:txbxContent>
                <w:p w:rsidR="00A9070A" w:rsidRPr="00A9070A" w:rsidRDefault="00A9070A" w:rsidP="00A9070A">
                  <w:pPr>
                    <w:jc w:val="center"/>
                    <w:rPr>
                      <w:b/>
                    </w:rPr>
                  </w:pPr>
                  <w:r w:rsidRPr="00A9070A">
                    <w:rPr>
                      <w:b/>
                    </w:rPr>
                    <w:t>Objetividad e integridad</w:t>
                  </w:r>
                </w:p>
              </w:txbxContent>
            </v:textbox>
          </v:oval>
        </w:pict>
      </w:r>
      <w:r w:rsidR="00A9070A">
        <w:rPr>
          <w:noProof/>
          <w:lang w:eastAsia="es-SV"/>
        </w:rPr>
        <w:pict>
          <v:oval id="_x0000_s1032" style="position:absolute;margin-left:325.2pt;margin-top:428.65pt;width:131.25pt;height:53.25pt;z-index:251664384">
            <v:textbox>
              <w:txbxContent>
                <w:p w:rsidR="00A9070A" w:rsidRPr="00A9070A" w:rsidRDefault="00A9070A" w:rsidP="00A9070A">
                  <w:pPr>
                    <w:jc w:val="center"/>
                    <w:rPr>
                      <w:b/>
                    </w:rPr>
                  </w:pPr>
                  <w:r w:rsidRPr="00A9070A">
                    <w:rPr>
                      <w:b/>
                    </w:rPr>
                    <w:t>Publicidad</w:t>
                  </w:r>
                </w:p>
              </w:txbxContent>
            </v:textbox>
          </v:oval>
        </w:pict>
      </w:r>
      <w:r w:rsidR="00A9070A">
        <w:rPr>
          <w:noProof/>
          <w:lang w:eastAsia="es-SV"/>
        </w:rPr>
        <w:pict>
          <v:oval id="_x0000_s1033" style="position:absolute;margin-left:-55.8pt;margin-top:448.15pt;width:152.25pt;height:63.75pt;z-index:251665408">
            <v:textbox>
              <w:txbxContent>
                <w:p w:rsidR="00A9070A" w:rsidRPr="00A9070A" w:rsidRDefault="00A9070A" w:rsidP="00A9070A">
                  <w:pPr>
                    <w:jc w:val="center"/>
                    <w:rPr>
                      <w:b/>
                    </w:rPr>
                  </w:pPr>
                  <w:r w:rsidRPr="00A9070A">
                    <w:rPr>
                      <w:b/>
                    </w:rPr>
                    <w:t xml:space="preserve">Aplicación </w:t>
                  </w:r>
                  <w:proofErr w:type="spellStart"/>
                  <w:proofErr w:type="gramStart"/>
                  <w:r w:rsidRPr="00A9070A">
                    <w:rPr>
                      <w:b/>
                    </w:rPr>
                    <w:t>de el</w:t>
                  </w:r>
                  <w:proofErr w:type="spellEnd"/>
                  <w:proofErr w:type="gramEnd"/>
                  <w:r w:rsidRPr="00A9070A">
                    <w:rPr>
                      <w:b/>
                    </w:rPr>
                    <w:t xml:space="preserve"> código</w:t>
                  </w:r>
                </w:p>
              </w:txbxContent>
            </v:textbox>
          </v:oval>
        </w:pict>
      </w:r>
      <w:r w:rsidR="00A9070A">
        <w:rPr>
          <w:noProof/>
          <w:lang w:eastAsia="es-SV"/>
        </w:rPr>
        <w:pict>
          <v:rect id="_x0000_s1036" style="position:absolute;margin-left:171.45pt;margin-top:499.15pt;width:126.75pt;height:46.5pt;z-index:251668480" fillcolor="#4bacc6 [3208]" strokecolor="#f2f2f2 [3041]" strokeweight="3pt">
            <v:shadow on="t" type="perspective" color="#205867 [1608]" opacity=".5" offset="1pt" offset2="-1pt"/>
            <v:textbox>
              <w:txbxContent>
                <w:p w:rsidR="00AE7BAE" w:rsidRPr="00AE7BAE" w:rsidRDefault="00AE7BAE" w:rsidP="00AE7BAE">
                  <w:pPr>
                    <w:jc w:val="center"/>
                    <w:rPr>
                      <w:b/>
                    </w:rPr>
                  </w:pPr>
                  <w:r w:rsidRPr="00AE7BAE">
                    <w:rPr>
                      <w:b/>
                    </w:rPr>
                    <w:t>Normas generales</w:t>
                  </w:r>
                </w:p>
              </w:txbxContent>
            </v:textbox>
          </v:rect>
        </w:pict>
      </w:r>
      <w:r w:rsidR="00A9070A">
        <w:rPr>
          <w:noProof/>
          <w:lang w:eastAsia="es-SV"/>
        </w:rPr>
        <w:pict>
          <v:roundrect id="_x0000_s1030" style="position:absolute;margin-left:111.45pt;margin-top:301.15pt;width:228.75pt;height:60.75pt;z-index:251662336" arcsize="10923f">
            <v:textbox>
              <w:txbxContent>
                <w:p w:rsidR="00A9070A" w:rsidRDefault="00A9070A" w:rsidP="00A9070A">
                  <w:pPr>
                    <w:jc w:val="center"/>
                  </w:pPr>
                  <w:r>
                    <w:t>El CVPCPA tiene responsabilidad de establecer un marco de referencia en donde actúen los contadores</w:t>
                  </w:r>
                </w:p>
              </w:txbxContent>
            </v:textbox>
          </v:roundrect>
        </w:pict>
      </w:r>
      <w:r w:rsidR="00A9070A">
        <w:rPr>
          <w:noProof/>
          <w:lang w:eastAsia="es-SV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margin-left:210.45pt;margin-top:220.9pt;width:18.75pt;height:45pt;z-index:251661312">
            <v:textbox style="layout-flow:vertical-ideographic"/>
          </v:shape>
        </w:pict>
      </w:r>
      <w:r w:rsidR="00A9070A">
        <w:rPr>
          <w:noProof/>
          <w:lang w:eastAsia="es-SV"/>
        </w:rPr>
        <w:pict>
          <v:shape id="_x0000_s1028" type="#_x0000_t67" style="position:absolute;margin-left:210.45pt;margin-top:93.4pt;width:18.75pt;height:33pt;z-index:251660288">
            <v:textbox style="layout-flow:vertical-ideographic"/>
          </v:shape>
        </w:pict>
      </w:r>
      <w:r w:rsidR="00A9070A">
        <w:rPr>
          <w:noProof/>
          <w:lang w:eastAsia="es-SV"/>
        </w:rPr>
        <w:pict>
          <v:roundrect id="_x0000_s1027" style="position:absolute;margin-left:74.7pt;margin-top:145.15pt;width:303.75pt;height:64.5pt;z-index:251659264" arcsize="10923f">
            <v:textbox>
              <w:txbxContent>
                <w:p w:rsidR="00A9070A" w:rsidRDefault="00A9070A" w:rsidP="00A9070A">
                  <w:pPr>
                    <w:jc w:val="center"/>
                  </w:pPr>
                  <w:r>
                    <w:t>Es necesario que los contadores públicos en el desempeño de su actuación profesional actúen bajo normas generales de conducta</w:t>
                  </w:r>
                </w:p>
              </w:txbxContent>
            </v:textbox>
          </v:roundrect>
        </w:pict>
      </w:r>
      <w:r w:rsidR="00A9070A">
        <w:rPr>
          <w:noProof/>
          <w:lang w:eastAsia="es-SV"/>
        </w:rPr>
        <w:pict>
          <v:oval id="_x0000_s1026" style="position:absolute;margin-left:122.7pt;margin-top:14.65pt;width:179.25pt;height:59.25pt;z-index:251658240">
            <v:textbox>
              <w:txbxContent>
                <w:p w:rsidR="00A9070A" w:rsidRPr="00A9070A" w:rsidRDefault="00AE7BAE" w:rsidP="00A9070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9070A">
                    <w:rPr>
                      <w:b/>
                      <w:sz w:val="28"/>
                      <w:szCs w:val="28"/>
                    </w:rPr>
                    <w:t>Código</w:t>
                  </w:r>
                  <w:r w:rsidR="00A9070A" w:rsidRPr="00A9070A">
                    <w:rPr>
                      <w:b/>
                      <w:sz w:val="28"/>
                      <w:szCs w:val="28"/>
                    </w:rPr>
                    <w:t xml:space="preserve"> de </w:t>
                  </w:r>
                  <w:r w:rsidRPr="00A9070A">
                    <w:rPr>
                      <w:b/>
                      <w:sz w:val="28"/>
                      <w:szCs w:val="28"/>
                    </w:rPr>
                    <w:t>ética</w:t>
                  </w:r>
                </w:p>
              </w:txbxContent>
            </v:textbox>
          </v:oval>
        </w:pict>
      </w:r>
    </w:p>
    <w:sectPr w:rsidR="0075341D" w:rsidSect="00753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070A"/>
    <w:rsid w:val="006A1A3C"/>
    <w:rsid w:val="0075341D"/>
    <w:rsid w:val="00A9070A"/>
    <w:rsid w:val="00AE7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8"/>
        <o:r id="V:Rule4" type="connector" idref="#_x0000_s1039"/>
        <o:r id="V:Rule6" type="connector" idref="#_x0000_s1040"/>
        <o:r id="V:Rule8" type="connector" idref="#_x0000_s1041"/>
        <o:r id="V:Rule10" type="connector" idref="#_x0000_s1042"/>
        <o:r id="V:Rule12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4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gaby</cp:lastModifiedBy>
  <cp:revision>1</cp:revision>
  <dcterms:created xsi:type="dcterms:W3CDTF">2012-09-30T04:25:00Z</dcterms:created>
  <dcterms:modified xsi:type="dcterms:W3CDTF">2012-09-30T04:38:00Z</dcterms:modified>
</cp:coreProperties>
</file>